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《郑州市人民防空办公室行政处罚信用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修复方法（征求意见稿）》解读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社会信用体系建设是优化营商环境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重要内容，良好的营商环境需要有良好的法治手段、制度规则来保证。近年来，我办以政务服务提升，带动营商环境优化，彻底解决一些困扰群众和企业的痛点难点堵点问题。按照市委、市政府工作部署，借鉴其他单位现有做法，结合我办实际，制定了《郑州市人民防空办公室行政处罚信用修复方法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信用修复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的适用范围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“国家企业信用信息公示系统”和“信用中国（河南·郑州）”公示的郑州市人民防空办公室做出的一般程序行政处罚信息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信用修复的条件有哪些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市场主体同时满足下列条件的，可以申请信用修复：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行政处罚信息公示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行政处罚信息公示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履行完行政处罚义务，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对失信违法行为进行纠正，完成整改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，承诺消除不良社会影响和诚信守法经营的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不涉及规定的不予修复的严重失信行为。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信用修复需要哪些材料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1.行政处罚信息信用修复申请表；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2.已履行行政处罚义务相关证明材料(主要包括缴纳罚款收据、行政处罚机关出具的相关证明材料等；处罚类型为警告的可提供已整改说明)复印件；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3.信用修复承诺书；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4.营业执照复印件；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5.法定代表人、负责人及其授权委托人身份证复印件。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三、</w:t>
      </w:r>
      <w:r>
        <w:rPr>
          <w:rFonts w:hint="eastAsia" w:ascii="楷体_GB2312" w:hAnsi="楷体_GB2312" w:eastAsia="楷体_GB2312" w:cs="楷体_GB2312"/>
          <w:sz w:val="32"/>
          <w:szCs w:val="32"/>
        </w:rPr>
        <w:t>信用修复要走哪些流程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申请→受理→审核→决定→归档。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E60"/>
    <w:multiLevelType w:val="singleLevel"/>
    <w:tmpl w:val="63FD3E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6D6231D"/>
    <w:rsid w:val="4A1947CF"/>
    <w:rsid w:val="B7DF4D35"/>
    <w:rsid w:val="CCFF1A62"/>
    <w:rsid w:val="EFCB468E"/>
    <w:rsid w:val="F3E6D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Administrator</cp:lastModifiedBy>
  <dcterms:modified xsi:type="dcterms:W3CDTF">2021-09-29T03:19:40Z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